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RICARDO CASTILLO TORRES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Rector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Institución Educativa Santo Tomás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Calle 34 # 3N-15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ie.santotomas@cali.gov.co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solicitud</w:t>
      </w:r>
      <w:r>
        <w:rPr>
          <w:rFonts w:cs="Arial" w:ascii="Arial" w:hAnsi="Arial"/>
        </w:rPr>
        <w:t>_proceso de fumigación en la I.E. Santo Tom</w:t>
      </w:r>
      <w:r>
        <w:rPr>
          <w:rFonts w:cs="Arial" w:ascii="Arial" w:hAnsi="Arial"/>
        </w:rPr>
        <w:t>á</w:t>
      </w:r>
      <w:r>
        <w:rPr>
          <w:rFonts w:cs="Arial" w:ascii="Arial" w:hAnsi="Arial"/>
        </w:rPr>
        <w:t>s y Sedes.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shd w:fill="FFFFFF" w:val="clear"/>
          <w:lang w:val="es-CO" w:eastAsia="ar-SA" w:bidi="ar-SA"/>
        </w:rPr>
        <w:t>De manera atenta, en respuesta a solicitud radicado No. 202541730100041382, se comunica en referencia al asunto, que en la  Institución Educativa Santo Tomás y sus  Sedes, CASD, Manuela Beltrán y Jorge Isaacs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, se realizo fumigación durante el último trimestre del 2024, con 8 controles en este periodo, por parte de la Empresa TECNISEC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de Colombia Ltda.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,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como parte del Plan de Contingencia de Dengue establecido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por la Secretaría de Salud Distrital debido a la epidemia en la ciudad.  </w:t>
      </w:r>
    </w:p>
    <w:p>
      <w:pPr>
        <w:pStyle w:val="LOnormal"/>
        <w:spacing w:lineRule="auto" w:line="276"/>
        <w:ind w:left="0" w:right="0" w:hanging="0"/>
        <w:jc w:val="both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pPr>
      <w:r>
        <w:rPr>
          <w:b w:val="false"/>
          <w:i w:val="false"/>
          <w:caps w:val="false"/>
          <w:smallCaps w:val="false"/>
          <w:strike w:val="false"/>
          <w:dstrike w:val="false"/>
          <w:u w:val="none"/>
          <w:shd w:fill="FFFFFF" w:val="clear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Sin embargo, 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 xml:space="preserve"> 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Por la cual se establece el modelo de inspección, vigilancia y control sanitario para los productos de uso y consumo humano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”;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donde se define que los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“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</w:rPr>
        <w:t>Sujetos de inspección, vigilancia y control sanitario son las personas naturales y jurídicas, organizaciones e instituciones obligadas a proteger la salud pública y garantizar la seguridad sanitaria a través de su desempeño…”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spacing w:lineRule="auto" w:line="276" w:before="0" w:after="120"/>
        <w:ind w:left="0" w:right="0" w:hanging="0"/>
        <w:rPr>
          <w:rFonts w:eastAsia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Times New Roman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Teniendo en cuenta lo anterior, se informa que las funciones de este organismo no se extienden a la prestación de servicios de fumigación a establecimientos. Estas intervenciones unicamente se realizan durante situaciones epidémicas y/o emergencia. Las acciones  de los funcionarios designados por la Secretaría de Salud del Distrito Especial de Santiago de Cali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Por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szCs w:val="20"/>
          <w:u w:val="none"/>
          <w:shd w:fill="FFFFFF" w:val="clear"/>
        </w:rPr>
        <w:t>"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, en su artículo 44.3.5.</w:t>
      </w:r>
    </w:p>
    <w:p>
      <w:pPr>
        <w:pStyle w:val="LOnormal"/>
        <w:spacing w:lineRule="auto" w:line="276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76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Cabe resaltar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que la mejor manera de controlar la transmisión es evitar criaderos del vector </w:t>
      </w:r>
      <w:r>
        <w:rPr>
          <w:rFonts w:eastAsia="Arial"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u w:val="none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pues la fumigación solo actúa sobre los zancudos que tengan contacto con el insecticida, pero si hay criaderos en la edificación, es posible que al día siguiente haya nuevamente zancudos.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Por lo tanto, la Institución debe: 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Cuerpodetexto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bookmarkStart w:id="0" w:name="docs-internal-guid-ed99df39-7fff-5d67-e8"/>
      <w:bookmarkEnd w:id="0"/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1. Inspeccionar semanalmente las Sedes Educativas para eliminar depósitos con agua almacenada o estancada por más de siete (7) días en el lugar, donde se pueda reproducir el vector.</w:t>
      </w:r>
    </w:p>
    <w:p>
      <w:pPr>
        <w:pStyle w:val="Cuerpodetexto"/>
        <w:rPr/>
      </w:pPr>
      <w:r>
        <w:rPr/>
      </w:r>
    </w:p>
    <w:p>
      <w:pPr>
        <w:pStyle w:val="Cuerpodetexto"/>
        <w:bidi w:val="0"/>
        <w:spacing w:lineRule="auto" w:line="288" w:before="0" w:after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2. Realizar control físico (reparación, modificación del diseño) en los sitios donde se pueda acumular agua, como son canales y canaletas de desagüe, depresiones del terreno, jardines, lavabos, etc.</w:t>
      </w:r>
    </w:p>
    <w:p>
      <w:pPr>
        <w:pStyle w:val="Cuerpodetexto"/>
        <w:rPr/>
      </w:pPr>
      <w:r>
        <w:rPr/>
      </w:r>
    </w:p>
    <w:p>
      <w:pPr>
        <w:pStyle w:val="Cuerpodetexto"/>
        <w:bidi w:val="0"/>
        <w:spacing w:lineRule="auto" w:line="288" w:before="0" w:after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3. Aplicar repelentes en la piel expuesta (hombros, brazos, piernas) o sobre la ropa, sobre todo, durante las horas del día, cuando este zancudo es más activo.</w:t>
      </w:r>
    </w:p>
    <w:p>
      <w:pPr>
        <w:pStyle w:val="Cuerpodetexto"/>
        <w:rPr/>
      </w:pPr>
      <w:r>
        <w:rPr/>
      </w:r>
    </w:p>
    <w:p>
      <w:pPr>
        <w:pStyle w:val="Cuerpodetexto"/>
        <w:bidi w:val="0"/>
        <w:spacing w:lineRule="auto" w:line="288" w:before="0" w:after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4. En caso de que alguna persona del lugar presente síntomas como fiebre alta, dolor en articulaciones y en músculos, dolor de cabeza, brotes en la piel, es de vital importancia que la persona NO se automedique y consulte a un médico, se hidrate bien y guarde reposo.</w:t>
      </w:r>
    </w:p>
    <w:p>
      <w:pPr>
        <w:pStyle w:val="Cuerpodetexto"/>
        <w:rPr/>
      </w:pPr>
      <w:r>
        <w:rPr/>
      </w:r>
    </w:p>
    <w:p>
      <w:pPr>
        <w:pStyle w:val="Cuerpodetexto"/>
        <w:bidi w:val="0"/>
        <w:spacing w:lineRule="auto" w:line="288" w:before="0" w:after="0"/>
        <w:ind w:left="0" w:right="0" w:hanging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5. Si una persona es diagnosticada con dengue, debe dormir bajo la protección del toldillo (mosquitero), para evitar que otros mosquitos se infecten y puedan transmitir el virus a personas sanas. Esto, especialmente para aquellas personas que duermen en horas del día (Niños, mujeres embarazadas, personas con postración en cama y trabajadores de horario nocturno).</w:t>
      </w:r>
    </w:p>
    <w:p>
      <w:pPr>
        <w:pStyle w:val="LOnormal"/>
        <w:tabs>
          <w:tab w:val="clear" w:pos="709"/>
          <w:tab w:val="left" w:pos="0" w:leader="none"/>
        </w:tabs>
        <w:spacing w:lineRule="auto" w:line="276"/>
        <w:ind w:left="707" w:right="0" w:hanging="283"/>
        <w:jc w:val="both"/>
        <w:rPr>
          <w:rFonts w:cs="Times New Roman"/>
          <w:iCs/>
          <w:kern w:val="2"/>
          <w:effect w:val="none"/>
          <w:shd w:fill="FFFFFF" w:val="clear"/>
          <w:lang w:eastAsia="ar-SA"/>
        </w:rPr>
      </w:pPr>
      <w:r>
        <w:rPr>
          <w:rFonts w:cs="Times New Roman"/>
          <w:iCs/>
          <w:kern w:val="2"/>
          <w:effect w:val="none"/>
          <w:shd w:fill="FFFFFF" w:val="clear"/>
          <w:lang w:eastAsia="ar-SA"/>
        </w:rPr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>
          <w:rFonts w:ascii="Arial" w:hAnsi="Arial" w:eastAsia="Arial Unicode MS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es-CO" w:bidi="ar-SA"/>
        </w:rPr>
      </w:pPr>
      <w:r>
        <w:rPr/>
      </w:r>
    </w:p>
    <w:p>
      <w:pPr>
        <w:pStyle w:val="Cuerpodetexto"/>
        <w:tabs>
          <w:tab w:val="clear" w:pos="709"/>
          <w:tab w:val="left" w:pos="735" w:leader="none"/>
        </w:tabs>
        <w:suppressAutoHyphens w:val="true"/>
        <w:bidi w:val="0"/>
        <w:spacing w:lineRule="auto" w:line="276" w:before="0" w:after="0"/>
        <w:ind w:left="0" w:right="0" w:hanging="0"/>
        <w:jc w:val="both"/>
        <w:rPr>
          <w:rFonts w:ascii="Arial" w:hAnsi="Arial" w:eastAsia="Arial Unicode MS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auto"/>
          <w:sz w:val="24"/>
          <w:szCs w:val="24"/>
          <w:u w:val="none"/>
          <w:lang w:val="es-CO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de fondo a su solicitud, no obstante, estaremos atentos en caso de requerir información adicional.</w:t>
      </w:r>
    </w:p>
    <w:p>
      <w:pPr>
        <w:pStyle w:val="LOnormal"/>
        <w:spacing w:lineRule="auto" w:line="276" w:before="0" w:after="120"/>
        <w:ind w:left="0" w:right="0" w:hanging="0"/>
        <w:jc w:val="both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sz w:val="24"/>
          <w:szCs w:val="24"/>
          <w:u w:val="none"/>
          <w:lang w:val="es-CO" w:bidi="ar-SA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 xml:space="preserve">CC: </w:t>
      </w:r>
      <w:r>
        <w:rPr>
          <w:rFonts w:cs="Arial" w:ascii="Arial" w:hAnsi="Arial"/>
          <w:sz w:val="16"/>
          <w:szCs w:val="16"/>
        </w:rPr>
        <w:t>Dra.</w:t>
      </w:r>
      <w:r>
        <w:rPr>
          <w:rFonts w:cs="Arial" w:ascii="Arial" w:hAnsi="Arial"/>
          <w:sz w:val="16"/>
          <w:szCs w:val="16"/>
        </w:rPr>
        <w:t xml:space="preserve"> Leidy Tatiana Aguilar Rodríguez – Secretaria de Despacho, Secretaría de Educación.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: </w:t>
      </w:r>
      <w:r>
        <w:rPr>
          <w:rFonts w:cs="Arial" w:ascii="Arial" w:hAnsi="Arial"/>
          <w:sz w:val="16"/>
          <w:szCs w:val="16"/>
          <w:lang w:val="es-ES"/>
        </w:rPr>
        <w:t xml:space="preserve">Clara Inés Solis Sandoval- Contratista.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Dahiana Quintero Echeverry – Contratista.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5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2670" cy="5080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200" cy="432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pt;height:0.3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8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840" cy="1021080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360" cy="102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*202541450200003761*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202541450200003761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2025-01-22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4145.020.13.1.953.000376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202541730100041382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pt;height:80.3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*202541450200003761*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202541450200003761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2025-01-22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4145.020.13.1.953.000376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202541730100041382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image" Target="media/image2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LibreOffice/7.0.3.1$Windows_X86_64 LibreOffice_project/d7547858d014d4cf69878db179d326fc3483e082</Application>
  <Pages>3</Pages>
  <Words>795</Words>
  <Characters>4490</Characters>
  <CharactersWithSpaces>5263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2025-01-22T15:06:13Z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